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09.01.2023 N 18</w:t>
              <w:br/>
              <w:t xml:space="preserve">"Об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31.08.69 Челюстно-лицевая хирургия"</w:t>
              <w:br/>
              <w:t xml:space="preserve">(Зарегистрировано в Минюсте России 13.02.2023 N 72348)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13 февраля 2023 г. N 72348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9 января 2023 г. N 18</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 ПОДГОТОВКА КАДРОВ ВЫСШЕЙ КВАЛИФИКАЦИИ</w:t>
      </w:r>
    </w:p>
    <w:p>
      <w:pPr>
        <w:pStyle w:val="2"/>
        <w:jc w:val="center"/>
      </w:pPr>
      <w:r>
        <w:rPr>
          <w:sz w:val="20"/>
        </w:rPr>
        <w:t xml:space="preserve">ПО ПРОГРАММАМ ОРДИНАТУРЫ ПО СПЕЦИАЛЬНОСТИ 31.08.69</w:t>
      </w:r>
    </w:p>
    <w:p>
      <w:pPr>
        <w:pStyle w:val="2"/>
        <w:jc w:val="center"/>
      </w:pPr>
      <w:r>
        <w:rPr>
          <w:sz w:val="20"/>
        </w:rPr>
        <w:t xml:space="preserve">ЧЕЛЮСТНО-ЛИЦЕВАЯ ХИРУРГИЯ</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4.2.40 пункта 4.2</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и </w:t>
      </w:r>
      <w:hyperlink w:history="0" r:id="rId8"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 подготовка кадров высшей квалификации по программам ординатуры по специальности 31.08.69 Челюстно-лицевая хирургия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высшего образования, организация дополнительного профессионального образования и научная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6.08.2014 N 1112 &quot;Об утверждении федерального государственного образовательного стандарта высшего образования по специальности 31.08.69 Челюстно-лицевая хирургия (уровень подготовки кадров высшей квалификации)&quot; (Зарегистрировано в Минюсте России 23.10.2014 N 34415) {КонсультантПлюс}">
        <w:r>
          <w:rPr>
            <w:sz w:val="20"/>
            <w:color w:val="0000ff"/>
          </w:rPr>
          <w:t xml:space="preserve">стандартом</w:t>
        </w:r>
      </w:hyperlink>
      <w:r>
        <w:rPr>
          <w:sz w:val="20"/>
        </w:rPr>
        <w:t xml:space="preserve"> высшего образования по специальности </w:t>
      </w:r>
      <w:hyperlink w:history="0" r:id="rId10"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0"/>
            <w:color w:val="0000ff"/>
          </w:rPr>
          <w:t xml:space="preserve">31.08.69</w:t>
        </w:r>
      </w:hyperlink>
      <w:r>
        <w:rPr>
          <w:sz w:val="20"/>
        </w:rPr>
        <w:t xml:space="preserve"> Челюстно-лицевая хирургия (уровень подготовки кадров высшей квалификации), утвержденным приказом Министерства образования и науки Российской Федерации от 26 августа 2014 г. N 1112 (зарегистрирован Министерством юстиции Российской Федерации 23 октября 2014 г., регистрационный N 34415), прекращается 1 сентября 2023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9 января 2023 г. N 18</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 - ПОДГОТОВКИ КАДРОВ ВЫСШЕЙ КВАЛИФИКАЦИИ</w:t>
      </w:r>
    </w:p>
    <w:p>
      <w:pPr>
        <w:pStyle w:val="2"/>
        <w:jc w:val="center"/>
      </w:pPr>
      <w:r>
        <w:rPr>
          <w:sz w:val="20"/>
        </w:rPr>
        <w:t xml:space="preserve">ПО ПРОГРАММАМ ОРДИНАТУРЫ ПО СПЕЦИАЛЬНОСТИ 31.08.69</w:t>
      </w:r>
    </w:p>
    <w:p>
      <w:pPr>
        <w:pStyle w:val="2"/>
        <w:jc w:val="center"/>
      </w:pPr>
      <w:r>
        <w:rPr>
          <w:sz w:val="20"/>
        </w:rPr>
        <w:t xml:space="preserve">ЧЕЛЮСТНО-ЛИЦЕВАЯ ХИРУРГИЯ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ординатуры по специальности 31.08.69 Челюстно-лицевая хирургия (далее соответственно - программа ординатуры, специальность).</w:t>
      </w:r>
    </w:p>
    <w:p>
      <w:pPr>
        <w:pStyle w:val="0"/>
        <w:spacing w:before="200" w:line-rule="auto"/>
        <w:ind w:firstLine="540"/>
        <w:jc w:val="both"/>
      </w:pPr>
      <w:r>
        <w:rPr>
          <w:sz w:val="20"/>
        </w:rPr>
        <w:t xml:space="preserve">1.2. Получение образования по программе ординатуры допускается только в образовательной организации высшего образования, организации дополнительного профессионального образования и научной организации (далее вместе - Организация).</w:t>
      </w:r>
    </w:p>
    <w:p>
      <w:pPr>
        <w:pStyle w:val="0"/>
        <w:spacing w:before="200" w:line-rule="auto"/>
        <w:ind w:firstLine="540"/>
        <w:jc w:val="both"/>
      </w:pPr>
      <w:r>
        <w:rPr>
          <w:sz w:val="20"/>
        </w:rPr>
        <w:t xml:space="preserve">1.3. Обучение по программе ординатуры в Организации осуществляется в очной форме.</w:t>
      </w:r>
    </w:p>
    <w:p>
      <w:pPr>
        <w:pStyle w:val="0"/>
        <w:spacing w:before="200" w:line-rule="auto"/>
        <w:ind w:firstLine="540"/>
        <w:jc w:val="both"/>
      </w:pPr>
      <w:r>
        <w:rPr>
          <w:sz w:val="20"/>
        </w:rPr>
        <w:t xml:space="preserve">1.4. Содержание высшего образования по специальности определяется программой ординатуры, разрабатываемой и утверждаемой Организацией самостоятельно. При разработке программы ординатуры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pPr>
        <w:pStyle w:val="0"/>
        <w:spacing w:before="200" w:line-rule="auto"/>
        <w:ind w:firstLine="540"/>
        <w:jc w:val="both"/>
      </w:pPr>
      <w:r>
        <w:rPr>
          <w:sz w:val="20"/>
        </w:rPr>
        <w:t xml:space="preserve">Организация разрабатывает программу ординатуры в соответствии с ФГОС ВО.</w:t>
      </w:r>
    </w:p>
    <w:bookmarkStart w:id="47" w:name="P47"/>
    <w:bookmarkEnd w:id="47"/>
    <w:p>
      <w:pPr>
        <w:pStyle w:val="0"/>
        <w:spacing w:before="200" w:line-rule="auto"/>
        <w:ind w:firstLine="540"/>
        <w:jc w:val="both"/>
      </w:pPr>
      <w:r>
        <w:rPr>
          <w:sz w:val="20"/>
        </w:rPr>
        <w:t xml:space="preserve">1.5. Программа ординатуры,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r:id="rId11"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1 статьи 81</w:t>
        </w:r>
      </w:hyperlink>
      <w:r>
        <w:rPr>
          <w:sz w:val="20"/>
        </w:rP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 правопорядка), разрабатывается на основе требований, предусмотренных указанным Федеральным </w:t>
      </w:r>
      <w:hyperlink w:history="0" r:id="rId1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Программа ординатуры в области медицинского образования и фармацевтического образования разрабатывается с учетом особенностей, установленных </w:t>
      </w:r>
      <w:hyperlink w:history="0" r:id="rId14"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статьей 82</w:t>
        </w:r>
      </w:hyperlink>
      <w:r>
        <w:rPr>
          <w:sz w:val="20"/>
        </w:rPr>
        <w:t xml:space="preserve"> Федерального закона от 29 декабря 2012 г. N 273-ФЗ "Об образовании в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1.6. При реализации программы ординатуры Организация вправе применять электронное обучение, дистанционные образовательные технологии.</w:t>
      </w:r>
    </w:p>
    <w:p>
      <w:pPr>
        <w:pStyle w:val="0"/>
        <w:spacing w:before="200" w:line-rule="auto"/>
        <w:ind w:firstLine="540"/>
        <w:jc w:val="both"/>
      </w:pPr>
      <w:r>
        <w:rPr>
          <w:sz w:val="20"/>
        </w:rPr>
        <w:t xml:space="preserve">Реализация программы ординатуры с применением исключительно электронного обучения, дистанционных образовательных технологий не допускается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3 статьи 16</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программы ординатуры осуществляется Организацией как самостоятельно, так и посредством сетевой формы.</w:t>
      </w:r>
    </w:p>
    <w:p>
      <w:pPr>
        <w:pStyle w:val="0"/>
        <w:spacing w:before="200" w:line-rule="auto"/>
        <w:ind w:firstLine="540"/>
        <w:jc w:val="both"/>
      </w:pPr>
      <w:r>
        <w:rPr>
          <w:sz w:val="20"/>
        </w:rPr>
        <w:t xml:space="preserve">1.8. Программа ординатуры реализуется на государственном языке Российской Федерации, если иное не определено локальным нормативным актом Организации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7"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bookmarkStart w:id="66" w:name="P66"/>
    <w:bookmarkEnd w:id="66"/>
    <w:p>
      <w:pPr>
        <w:pStyle w:val="0"/>
        <w:ind w:firstLine="540"/>
        <w:jc w:val="both"/>
      </w:pPr>
      <w:r>
        <w:rPr>
          <w:sz w:val="20"/>
        </w:rPr>
        <w:t xml:space="preserve">1.9. Срок получения образования по программе ординатуры (вне зависимости от применяемых образовательных технологий):</w:t>
      </w:r>
    </w:p>
    <w:p>
      <w:pPr>
        <w:pStyle w:val="0"/>
        <w:spacing w:before="200" w:line-rule="auto"/>
        <w:ind w:firstLine="540"/>
        <w:jc w:val="both"/>
      </w:pPr>
      <w:r>
        <w:rPr>
          <w:sz w:val="20"/>
        </w:rPr>
        <w:t xml:space="preserve">включая каникулы, предоставляемые после прохождения государственной итоговой аттестации, составляет 2 года;</w:t>
      </w:r>
    </w:p>
    <w:p>
      <w:pPr>
        <w:pStyle w:val="0"/>
        <w:spacing w:before="200" w:line-rule="auto"/>
        <w:ind w:firstLine="540"/>
        <w:jc w:val="both"/>
      </w:pPr>
      <w:r>
        <w:rPr>
          <w:sz w:val="20"/>
        </w:rPr>
        <w:t xml:space="preserve">при обучении по индивидуальному учебному плану инвалидов и лиц с ОВЗ может быть увеличен по их заявлению не более чем на 6 месяцев.</w:t>
      </w:r>
    </w:p>
    <w:bookmarkStart w:id="69" w:name="P69"/>
    <w:bookmarkEnd w:id="69"/>
    <w:p>
      <w:pPr>
        <w:pStyle w:val="0"/>
        <w:spacing w:before="200" w:line-rule="auto"/>
        <w:ind w:firstLine="540"/>
        <w:jc w:val="both"/>
      </w:pPr>
      <w:r>
        <w:rPr>
          <w:sz w:val="20"/>
        </w:rPr>
        <w:t xml:space="preserve">1.10. 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w:t>
      </w:r>
    </w:p>
    <w:p>
      <w:pPr>
        <w:pStyle w:val="0"/>
        <w:spacing w:before="200" w:line-rule="auto"/>
        <w:ind w:firstLine="540"/>
        <w:jc w:val="both"/>
      </w:pPr>
      <w:r>
        <w:rPr>
          <w:sz w:val="20"/>
        </w:rPr>
        <w:t xml:space="preserve">Объем программы ординатуры, реализуемый за один учебный год, составляет не более 70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(за исключением ускоренного обучения), а при ускоренном обучении - не более 80 з.е.</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ординатуры, реализуемый за один учебный год, составляет не более 75 з.е.</w:t>
      </w:r>
    </w:p>
    <w:p>
      <w:pPr>
        <w:pStyle w:val="0"/>
        <w:spacing w:before="200" w:line-rule="auto"/>
        <w:ind w:firstLine="540"/>
        <w:jc w:val="both"/>
      </w:pPr>
      <w:r>
        <w:rPr>
          <w:sz w:val="20"/>
        </w:rPr>
        <w:t xml:space="preserve">1.11. Организация самостоятельно определяет в пределах сроков и объемов, установленных </w:t>
      </w:r>
      <w:hyperlink w:history="0" w:anchor="P66" w:tooltip="1.9. Срок получения образования по программе ординатуры (вне зависимости от применяемых образовательных технологий):">
        <w:r>
          <w:rPr>
            <w:sz w:val="20"/>
            <w:color w:val="0000ff"/>
          </w:rPr>
          <w:t xml:space="preserve">пунктами 1.9</w:t>
        </w:r>
      </w:hyperlink>
      <w:r>
        <w:rPr>
          <w:sz w:val="20"/>
        </w:rPr>
        <w:t xml:space="preserve"> и </w:t>
      </w:r>
      <w:hyperlink w:history="0" w:anchor="P69" w:tooltip="1.10. 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w:r>
          <w:rPr>
            <w:sz w:val="20"/>
            <w:color w:val="0000ff"/>
          </w:rPr>
          <w:t xml:space="preserve">1.10</w:t>
        </w:r>
      </w:hyperlink>
      <w:r>
        <w:rPr>
          <w:sz w:val="20"/>
        </w:rPr>
        <w:t xml:space="preserve"> ФГОС ВО:</w:t>
      </w:r>
    </w:p>
    <w:p>
      <w:pPr>
        <w:pStyle w:val="0"/>
        <w:spacing w:before="200" w:line-rule="auto"/>
        <w:ind w:firstLine="540"/>
        <w:jc w:val="both"/>
      </w:pPr>
      <w:r>
        <w:rPr>
          <w:sz w:val="20"/>
        </w:rPr>
        <w:t xml:space="preserve">срок получения образования по программе ординатуры по индивидуальному учебному плану, в том числе при ускоренном обучении;</w:t>
      </w:r>
    </w:p>
    <w:p>
      <w:pPr>
        <w:pStyle w:val="0"/>
        <w:spacing w:before="200" w:line-rule="auto"/>
        <w:ind w:firstLine="540"/>
        <w:jc w:val="both"/>
      </w:pPr>
      <w:r>
        <w:rPr>
          <w:sz w:val="20"/>
        </w:rPr>
        <w:t xml:space="preserve">объем программы ординатуры, реализуемый за один учебный год.</w:t>
      </w:r>
    </w:p>
    <w:bookmarkStart w:id="75" w:name="P75"/>
    <w:bookmarkEnd w:id="75"/>
    <w:p>
      <w:pPr>
        <w:pStyle w:val="0"/>
        <w:spacing w:before="200" w:line-rule="auto"/>
        <w:ind w:firstLine="540"/>
        <w:jc w:val="both"/>
      </w:pPr>
      <w:r>
        <w:rPr>
          <w:sz w:val="20"/>
        </w:rPr>
        <w:t xml:space="preserve">1.12. Области профессиональной деятельности &lt;5&gt; 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hyperlink w:history="0" r:id="rId1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01</w:t>
        </w:r>
      </w:hyperlink>
      <w:r>
        <w:rPr>
          <w:sz w:val="20"/>
        </w:rPr>
        <w:t xml:space="preserve"> Образование и наука (в сферах: профессионального обучения, среднего профессионального и высшего образования, дополнительного профессионального образования; научных исследований);</w:t>
      </w:r>
    </w:p>
    <w:p>
      <w:pPr>
        <w:pStyle w:val="0"/>
        <w:spacing w:before="200" w:line-rule="auto"/>
        <w:ind w:firstLine="540"/>
        <w:jc w:val="both"/>
      </w:pPr>
      <w:hyperlink w:history="0" r:id="rId2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02</w:t>
        </w:r>
      </w:hyperlink>
      <w:r>
        <w:rPr>
          <w:sz w:val="20"/>
        </w:rPr>
        <w:t xml:space="preserve"> Здравоохранение (в сфере челюстно-лицевой хирургии);</w:t>
      </w:r>
    </w:p>
    <w:p>
      <w:pPr>
        <w:pStyle w:val="0"/>
        <w:spacing w:before="200" w:line-rule="auto"/>
        <w:ind w:firstLine="540"/>
        <w:jc w:val="both"/>
      </w:pPr>
      <w:hyperlink w:history="0" r:id="rId2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07</w:t>
        </w:r>
      </w:hyperlink>
      <w:r>
        <w:rPr>
          <w:sz w:val="20"/>
        </w:rPr>
        <w:t xml:space="preserve"> Административно-управленческая и офисная деятельность (в сфере здравоохранения).</w:t>
      </w:r>
    </w:p>
    <w:p>
      <w:pPr>
        <w:pStyle w:val="0"/>
        <w:spacing w:before="200" w:line-rule="auto"/>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Start w:id="83" w:name="P83"/>
    <w:bookmarkEnd w:id="83"/>
    <w:p>
      <w:pPr>
        <w:pStyle w:val="0"/>
        <w:spacing w:before="200" w:line-rule="auto"/>
        <w:ind w:firstLine="540"/>
        <w:jc w:val="both"/>
      </w:pPr>
      <w:r>
        <w:rPr>
          <w:sz w:val="20"/>
        </w:rPr>
        <w:t xml:space="preserve">1.13. В рамках освоения программы ординатуры выпускники могут готовиться к решению задач профессиональной деятельности следующих типов:</w:t>
      </w:r>
    </w:p>
    <w:p>
      <w:pPr>
        <w:pStyle w:val="0"/>
        <w:spacing w:before="200" w:line-rule="auto"/>
        <w:ind w:firstLine="540"/>
        <w:jc w:val="both"/>
      </w:pPr>
      <w:r>
        <w:rPr>
          <w:sz w:val="20"/>
        </w:rPr>
        <w:t xml:space="preserve">медицинский;</w:t>
      </w:r>
    </w:p>
    <w:p>
      <w:pPr>
        <w:pStyle w:val="0"/>
        <w:spacing w:before="200" w:line-rule="auto"/>
        <w:ind w:firstLine="540"/>
        <w:jc w:val="both"/>
      </w:pPr>
      <w:r>
        <w:rPr>
          <w:sz w:val="20"/>
        </w:rPr>
        <w:t xml:space="preserve">научно-исследовательский;</w:t>
      </w:r>
    </w:p>
    <w:p>
      <w:pPr>
        <w:pStyle w:val="0"/>
        <w:spacing w:before="200" w:line-rule="auto"/>
        <w:ind w:firstLine="540"/>
        <w:jc w:val="both"/>
      </w:pPr>
      <w:r>
        <w:rPr>
          <w:sz w:val="20"/>
        </w:rPr>
        <w:t xml:space="preserve">организационно-управленческий;</w:t>
      </w:r>
    </w:p>
    <w:p>
      <w:pPr>
        <w:pStyle w:val="0"/>
        <w:spacing w:before="200" w:line-rule="auto"/>
        <w:ind w:firstLine="540"/>
        <w:jc w:val="both"/>
      </w:pPr>
      <w:r>
        <w:rPr>
          <w:sz w:val="20"/>
        </w:rPr>
        <w:t xml:space="preserve">педагогический.</w:t>
      </w:r>
    </w:p>
    <w:p>
      <w:pPr>
        <w:pStyle w:val="0"/>
        <w:spacing w:before="200" w:line-rule="auto"/>
        <w:ind w:firstLine="540"/>
        <w:jc w:val="both"/>
      </w:pPr>
      <w:r>
        <w:rPr>
          <w:sz w:val="20"/>
        </w:rPr>
        <w:t xml:space="preserve">1.14. При разработке программы ординатуры Организация устанавливает направленность (профиль) программы ординатуры, которая соответствует специальности в целом или конкретизирует содержание программы ординатуры в рамках специальности путем ориентации ее на:</w:t>
      </w:r>
    </w:p>
    <w:p>
      <w:pPr>
        <w:pStyle w:val="0"/>
        <w:spacing w:before="200" w:line-rule="auto"/>
        <w:ind w:firstLine="540"/>
        <w:jc w:val="both"/>
      </w:pPr>
      <w:r>
        <w:rPr>
          <w:sz w:val="20"/>
        </w:rPr>
        <w:t xml:space="preserve">область (области) профессиональной деятельности и сферу (сферы) профессиональной деятельности выпускников;</w:t>
      </w:r>
    </w:p>
    <w:p>
      <w:pPr>
        <w:pStyle w:val="0"/>
        <w:spacing w:before="200" w:line-rule="auto"/>
        <w:ind w:firstLine="540"/>
        <w:jc w:val="both"/>
      </w:pPr>
      <w:r>
        <w:rPr>
          <w:sz w:val="20"/>
        </w:rPr>
        <w:t xml:space="preserve">тип (типы) задач и задачи профессиональной деятельности выпускников;</w:t>
      </w:r>
    </w:p>
    <w:p>
      <w:pPr>
        <w:pStyle w:val="0"/>
        <w:spacing w:before="200" w:line-rule="auto"/>
        <w:ind w:firstLine="540"/>
        <w:jc w:val="both"/>
      </w:pPr>
      <w:r>
        <w:rPr>
          <w:sz w:val="20"/>
        </w:rPr>
        <w:t xml:space="preserve">при необходимости - на объекты профессиональной деятельности выпускников или область (области) знания.</w:t>
      </w:r>
    </w:p>
    <w:p>
      <w:pPr>
        <w:pStyle w:val="0"/>
        <w:spacing w:before="200" w:line-rule="auto"/>
        <w:ind w:firstLine="540"/>
        <w:jc w:val="both"/>
      </w:pPr>
      <w:r>
        <w:rPr>
          <w:sz w:val="20"/>
        </w:rPr>
        <w:t xml:space="preserve">1.15. Программа ординатуры,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pPr>
        <w:pStyle w:val="0"/>
        <w:jc w:val="both"/>
      </w:pPr>
      <w:r>
        <w:rPr>
          <w:sz w:val="20"/>
        </w:rPr>
      </w:r>
    </w:p>
    <w:p>
      <w:pPr>
        <w:pStyle w:val="2"/>
        <w:outlineLvl w:val="1"/>
        <w:jc w:val="center"/>
      </w:pPr>
      <w:r>
        <w:rPr>
          <w:sz w:val="20"/>
        </w:rPr>
        <w:t xml:space="preserve">II. Требования к структуре программы ординатуры</w:t>
      </w:r>
    </w:p>
    <w:p>
      <w:pPr>
        <w:pStyle w:val="0"/>
        <w:jc w:val="both"/>
      </w:pPr>
      <w:r>
        <w:rPr>
          <w:sz w:val="20"/>
        </w:rPr>
      </w:r>
    </w:p>
    <w:p>
      <w:pPr>
        <w:pStyle w:val="0"/>
        <w:ind w:firstLine="540"/>
        <w:jc w:val="both"/>
      </w:pPr>
      <w:r>
        <w:rPr>
          <w:sz w:val="20"/>
        </w:rPr>
        <w:t xml:space="preserve">2.1. Структура программы ординатуры включает следующие блоки:</w:t>
      </w:r>
    </w:p>
    <w:p>
      <w:pPr>
        <w:pStyle w:val="0"/>
        <w:spacing w:before="200" w:line-rule="auto"/>
        <w:ind w:firstLine="540"/>
        <w:jc w:val="both"/>
      </w:pPr>
      <w:hyperlink w:history="0" w:anchor="P107" w:tooltip="Блок 1">
        <w:r>
          <w:rPr>
            <w:sz w:val="20"/>
            <w:color w:val="0000ff"/>
          </w:rPr>
          <w:t xml:space="preserve">Блок 1</w:t>
        </w:r>
      </w:hyperlink>
      <w:r>
        <w:rPr>
          <w:sz w:val="20"/>
        </w:rPr>
        <w:t xml:space="preserve"> "Дисциплины (модули)";</w:t>
      </w:r>
    </w:p>
    <w:p>
      <w:pPr>
        <w:pStyle w:val="0"/>
        <w:spacing w:before="200" w:line-rule="auto"/>
        <w:ind w:firstLine="540"/>
        <w:jc w:val="both"/>
      </w:pPr>
      <w:hyperlink w:history="0" w:anchor="P110" w:tooltip="Блок 2">
        <w:r>
          <w:rPr>
            <w:sz w:val="20"/>
            <w:color w:val="0000ff"/>
          </w:rPr>
          <w:t xml:space="preserve">Блок 2</w:t>
        </w:r>
      </w:hyperlink>
      <w:r>
        <w:rPr>
          <w:sz w:val="20"/>
        </w:rPr>
        <w:t xml:space="preserve"> "Практика";</w:t>
      </w:r>
    </w:p>
    <w:p>
      <w:pPr>
        <w:pStyle w:val="0"/>
        <w:spacing w:before="200" w:line-rule="auto"/>
        <w:ind w:firstLine="540"/>
        <w:jc w:val="both"/>
      </w:pPr>
      <w:hyperlink w:history="0" w:anchor="P113" w:tooltip="Блок 3">
        <w:r>
          <w:rPr>
            <w:sz w:val="20"/>
            <w:color w:val="0000ff"/>
          </w:rPr>
          <w:t xml:space="preserve">Блок 3</w:t>
        </w:r>
      </w:hyperlink>
      <w:r>
        <w:rPr>
          <w:sz w:val="20"/>
        </w:rPr>
        <w:t xml:space="preserve"> "Государственная итоговая аттестация".</w:t>
      </w:r>
    </w:p>
    <w:p>
      <w:pPr>
        <w:pStyle w:val="0"/>
        <w:jc w:val="both"/>
      </w:pPr>
      <w:r>
        <w:rPr>
          <w:sz w:val="20"/>
        </w:rPr>
      </w:r>
    </w:p>
    <w:p>
      <w:pPr>
        <w:pStyle w:val="0"/>
        <w:jc w:val="center"/>
      </w:pPr>
      <w:r>
        <w:rPr>
          <w:sz w:val="20"/>
        </w:rPr>
        <w:t xml:space="preserve">Структура и объем программы ординатуры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4365"/>
        <w:gridCol w:w="3572"/>
      </w:tblGrid>
      <w:tr>
        <w:tc>
          <w:tcPr>
            <w:gridSpan w:val="2"/>
            <w:tcW w:w="5499" w:type="dxa"/>
          </w:tcPr>
          <w:p>
            <w:pPr>
              <w:pStyle w:val="0"/>
              <w:jc w:val="center"/>
            </w:pPr>
            <w:r>
              <w:rPr>
                <w:sz w:val="20"/>
              </w:rPr>
              <w:t xml:space="preserve">Структура программы ординатуры</w:t>
            </w:r>
          </w:p>
        </w:tc>
        <w:tc>
          <w:tcPr>
            <w:tcW w:w="3572" w:type="dxa"/>
          </w:tcPr>
          <w:p>
            <w:pPr>
              <w:pStyle w:val="0"/>
              <w:jc w:val="center"/>
            </w:pPr>
            <w:r>
              <w:rPr>
                <w:sz w:val="20"/>
              </w:rPr>
              <w:t xml:space="preserve">Объем программы ординатуры и ее блоков в з.е.</w:t>
            </w:r>
          </w:p>
        </w:tc>
      </w:tr>
      <w:tr>
        <w:tc>
          <w:tcPr>
            <w:tcW w:w="1134" w:type="dxa"/>
          </w:tcPr>
          <w:bookmarkStart w:id="107" w:name="P107"/>
          <w:bookmarkEnd w:id="107"/>
          <w:p>
            <w:pPr>
              <w:pStyle w:val="0"/>
              <w:jc w:val="center"/>
            </w:pPr>
            <w:r>
              <w:rPr>
                <w:sz w:val="20"/>
              </w:rPr>
              <w:t xml:space="preserve">Блок 1</w:t>
            </w:r>
          </w:p>
        </w:tc>
        <w:tc>
          <w:tcPr>
            <w:tcW w:w="4365" w:type="dxa"/>
          </w:tcPr>
          <w:p>
            <w:pPr>
              <w:pStyle w:val="0"/>
            </w:pPr>
            <w:r>
              <w:rPr>
                <w:sz w:val="20"/>
              </w:rPr>
              <w:t xml:space="preserve">Дисциплины (модули)</w:t>
            </w:r>
          </w:p>
        </w:tc>
        <w:tc>
          <w:tcPr>
            <w:tcW w:w="3572" w:type="dxa"/>
            <w:vAlign w:val="center"/>
          </w:tcPr>
          <w:p>
            <w:pPr>
              <w:pStyle w:val="0"/>
              <w:jc w:val="center"/>
            </w:pPr>
            <w:r>
              <w:rPr>
                <w:sz w:val="20"/>
              </w:rPr>
              <w:t xml:space="preserve">не менее 42</w:t>
            </w:r>
          </w:p>
        </w:tc>
      </w:tr>
      <w:tr>
        <w:tc>
          <w:tcPr>
            <w:tcW w:w="1134" w:type="dxa"/>
          </w:tcPr>
          <w:bookmarkStart w:id="110" w:name="P110"/>
          <w:bookmarkEnd w:id="110"/>
          <w:p>
            <w:pPr>
              <w:pStyle w:val="0"/>
              <w:jc w:val="center"/>
            </w:pPr>
            <w:r>
              <w:rPr>
                <w:sz w:val="20"/>
              </w:rPr>
              <w:t xml:space="preserve">Блок 2</w:t>
            </w:r>
          </w:p>
        </w:tc>
        <w:tc>
          <w:tcPr>
            <w:tcW w:w="4365" w:type="dxa"/>
          </w:tcPr>
          <w:p>
            <w:pPr>
              <w:pStyle w:val="0"/>
            </w:pPr>
            <w:r>
              <w:rPr>
                <w:sz w:val="20"/>
              </w:rPr>
              <w:t xml:space="preserve">Практика</w:t>
            </w:r>
          </w:p>
        </w:tc>
        <w:tc>
          <w:tcPr>
            <w:tcW w:w="3572" w:type="dxa"/>
            <w:vAlign w:val="center"/>
          </w:tcPr>
          <w:p>
            <w:pPr>
              <w:pStyle w:val="0"/>
              <w:jc w:val="center"/>
            </w:pPr>
            <w:r>
              <w:rPr>
                <w:sz w:val="20"/>
              </w:rPr>
              <w:t xml:space="preserve">не менее 69</w:t>
            </w:r>
          </w:p>
        </w:tc>
      </w:tr>
      <w:tr>
        <w:tc>
          <w:tcPr>
            <w:tcW w:w="1134" w:type="dxa"/>
          </w:tcPr>
          <w:bookmarkStart w:id="113" w:name="P113"/>
          <w:bookmarkEnd w:id="113"/>
          <w:p>
            <w:pPr>
              <w:pStyle w:val="0"/>
              <w:jc w:val="center"/>
            </w:pPr>
            <w:r>
              <w:rPr>
                <w:sz w:val="20"/>
              </w:rPr>
              <w:t xml:space="preserve">Блок 3</w:t>
            </w:r>
          </w:p>
        </w:tc>
        <w:tc>
          <w:tcPr>
            <w:tcW w:w="4365" w:type="dxa"/>
          </w:tcPr>
          <w:p>
            <w:pPr>
              <w:pStyle w:val="0"/>
            </w:pPr>
            <w:r>
              <w:rPr>
                <w:sz w:val="20"/>
              </w:rPr>
              <w:t xml:space="preserve">Государственная итоговая аттестация</w:t>
            </w:r>
          </w:p>
        </w:tc>
        <w:tc>
          <w:tcPr>
            <w:tcW w:w="3572" w:type="dxa"/>
            <w:vAlign w:val="center"/>
          </w:tcPr>
          <w:p>
            <w:pPr>
              <w:pStyle w:val="0"/>
              <w:jc w:val="center"/>
            </w:pPr>
            <w:r>
              <w:rPr>
                <w:sz w:val="20"/>
              </w:rPr>
              <w:t xml:space="preserve">3</w:t>
            </w:r>
          </w:p>
        </w:tc>
      </w:tr>
      <w:tr>
        <w:tc>
          <w:tcPr>
            <w:gridSpan w:val="2"/>
            <w:tcW w:w="5499" w:type="dxa"/>
            <w:vAlign w:val="center"/>
          </w:tcPr>
          <w:p>
            <w:pPr>
              <w:pStyle w:val="0"/>
              <w:ind w:left="283"/>
            </w:pPr>
            <w:r>
              <w:rPr>
                <w:sz w:val="20"/>
              </w:rPr>
              <w:t xml:space="preserve">Объем программы ординатуры</w:t>
            </w:r>
          </w:p>
        </w:tc>
        <w:tc>
          <w:tcPr>
            <w:tcW w:w="3572" w:type="dxa"/>
            <w:vAlign w:val="center"/>
          </w:tcPr>
          <w:p>
            <w:pPr>
              <w:pStyle w:val="0"/>
              <w:jc w:val="center"/>
            </w:pPr>
            <w:r>
              <w:rPr>
                <w:sz w:val="20"/>
              </w:rPr>
              <w:t xml:space="preserve">120</w:t>
            </w:r>
          </w:p>
        </w:tc>
      </w:tr>
    </w:tbl>
    <w:p>
      <w:pPr>
        <w:pStyle w:val="0"/>
        <w:jc w:val="both"/>
      </w:pPr>
      <w:r>
        <w:rPr>
          <w:sz w:val="20"/>
        </w:rPr>
      </w:r>
    </w:p>
    <w:bookmarkStart w:id="119" w:name="P119"/>
    <w:bookmarkEnd w:id="119"/>
    <w:p>
      <w:pPr>
        <w:pStyle w:val="0"/>
        <w:ind w:firstLine="540"/>
        <w:jc w:val="both"/>
      </w:pPr>
      <w:r>
        <w:rPr>
          <w:sz w:val="20"/>
        </w:rPr>
        <w:t xml:space="preserve">2.2. В </w:t>
      </w:r>
      <w:hyperlink w:history="0" w:anchor="P110" w:tooltip="Блок 2">
        <w:r>
          <w:rPr>
            <w:sz w:val="20"/>
            <w:color w:val="0000ff"/>
          </w:rPr>
          <w:t xml:space="preserve">Блок 2</w:t>
        </w:r>
      </w:hyperlink>
      <w:r>
        <w:rPr>
          <w:sz w:val="20"/>
        </w:rPr>
        <w:t xml:space="preserve"> "Практика" входит производственная практика.</w:t>
      </w:r>
    </w:p>
    <w:p>
      <w:pPr>
        <w:pStyle w:val="0"/>
        <w:spacing w:before="200" w:line-rule="auto"/>
        <w:ind w:firstLine="540"/>
        <w:jc w:val="both"/>
      </w:pPr>
      <w:r>
        <w:rPr>
          <w:sz w:val="20"/>
        </w:rPr>
        <w:t xml:space="preserve">Типы производственной практики:</w:t>
      </w:r>
    </w:p>
    <w:p>
      <w:pPr>
        <w:pStyle w:val="0"/>
        <w:spacing w:before="200" w:line-rule="auto"/>
        <w:ind w:firstLine="540"/>
        <w:jc w:val="both"/>
      </w:pPr>
      <w:r>
        <w:rPr>
          <w:sz w:val="20"/>
        </w:rPr>
        <w:t xml:space="preserve">клиническая практика;</w:t>
      </w:r>
    </w:p>
    <w:p>
      <w:pPr>
        <w:pStyle w:val="0"/>
        <w:spacing w:before="200" w:line-rule="auto"/>
        <w:ind w:firstLine="540"/>
        <w:jc w:val="both"/>
      </w:pPr>
      <w:r>
        <w:rPr>
          <w:sz w:val="20"/>
        </w:rPr>
        <w:t xml:space="preserve">научно-исследовательская работа.</w:t>
      </w:r>
    </w:p>
    <w:p>
      <w:pPr>
        <w:pStyle w:val="0"/>
        <w:spacing w:before="200" w:line-rule="auto"/>
        <w:ind w:firstLine="540"/>
        <w:jc w:val="both"/>
      </w:pPr>
      <w:r>
        <w:rPr>
          <w:sz w:val="20"/>
        </w:rPr>
        <w:t xml:space="preserve">2.3. Организация:</w:t>
      </w:r>
    </w:p>
    <w:p>
      <w:pPr>
        <w:pStyle w:val="0"/>
        <w:spacing w:before="200" w:line-rule="auto"/>
        <w:ind w:firstLine="540"/>
        <w:jc w:val="both"/>
      </w:pPr>
      <w:r>
        <w:rPr>
          <w:sz w:val="20"/>
        </w:rPr>
        <w:t xml:space="preserve">выбирает один или несколько типов производственной практики из перечня, указанного в </w:t>
      </w:r>
      <w:hyperlink w:history="0" w:anchor="P119" w:tooltip="2.2. В Блок 2 &quot;Практика&quot; входит производственная практика.">
        <w:r>
          <w:rPr>
            <w:sz w:val="20"/>
            <w:color w:val="0000ff"/>
          </w:rPr>
          <w:t xml:space="preserve">пункте 2.2</w:t>
        </w:r>
      </w:hyperlink>
      <w:r>
        <w:rPr>
          <w:sz w:val="20"/>
        </w:rPr>
        <w:t xml:space="preserve"> ФГОС ВО;</w:t>
      </w:r>
    </w:p>
    <w:p>
      <w:pPr>
        <w:pStyle w:val="0"/>
        <w:spacing w:before="200" w:line-rule="auto"/>
        <w:ind w:firstLine="540"/>
        <w:jc w:val="both"/>
      </w:pPr>
      <w:r>
        <w:rPr>
          <w:sz w:val="20"/>
        </w:rPr>
        <w:t xml:space="preserve">вправе установить дополнительный тип (типы) производственной практики;</w:t>
      </w:r>
    </w:p>
    <w:p>
      <w:pPr>
        <w:pStyle w:val="0"/>
        <w:spacing w:before="200" w:line-rule="auto"/>
        <w:ind w:firstLine="540"/>
        <w:jc w:val="both"/>
      </w:pPr>
      <w:r>
        <w:rPr>
          <w:sz w:val="20"/>
        </w:rPr>
        <w:t xml:space="preserve">устанавливает объемы практик каждого типа.</w:t>
      </w:r>
    </w:p>
    <w:p>
      <w:pPr>
        <w:pStyle w:val="0"/>
        <w:spacing w:before="200" w:line-rule="auto"/>
        <w:ind w:firstLine="540"/>
        <w:jc w:val="both"/>
      </w:pPr>
      <w:r>
        <w:rPr>
          <w:sz w:val="20"/>
        </w:rPr>
        <w:t xml:space="preserve">2.4. Реализация практической подготовки обучающихся обеспечивается путем их участия в осуществлении медицинской деятельности или фармацевтической деятельности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2.5. В </w:t>
      </w:r>
      <w:hyperlink w:history="0" w:anchor="P113" w:tooltip="Блок 3">
        <w:r>
          <w:rPr>
            <w:sz w:val="20"/>
            <w:color w:val="0000ff"/>
          </w:rPr>
          <w:t xml:space="preserve">Блок 3</w:t>
        </w:r>
      </w:hyperlink>
      <w:r>
        <w:rPr>
          <w:sz w:val="20"/>
        </w:rPr>
        <w:t xml:space="preserve"> "Государственная итоговая аттестация" входят подготовка к сдаче и сдача государственного экзамена.</w:t>
      </w:r>
    </w:p>
    <w:p>
      <w:pPr>
        <w:pStyle w:val="0"/>
        <w:spacing w:before="200" w:line-rule="auto"/>
        <w:ind w:firstLine="540"/>
        <w:jc w:val="both"/>
      </w:pPr>
      <w:r>
        <w:rPr>
          <w:sz w:val="20"/>
        </w:rPr>
        <w:t xml:space="preserve">2.6. При разработке программы ординатуры обучающимся обеспечивается возможность освоения элективных дисциплин (модулей) и факультативных дисциплин (модулей).</w:t>
      </w:r>
    </w:p>
    <w:p>
      <w:pPr>
        <w:pStyle w:val="0"/>
        <w:spacing w:before="200" w:line-rule="auto"/>
        <w:ind w:firstLine="540"/>
        <w:jc w:val="both"/>
      </w:pPr>
      <w:r>
        <w:rPr>
          <w:sz w:val="20"/>
        </w:rPr>
        <w:t xml:space="preserve">Факультативные дисциплины (модули) не включаются в объем программы ординатуры.</w:t>
      </w:r>
    </w:p>
    <w:p>
      <w:pPr>
        <w:pStyle w:val="0"/>
        <w:spacing w:before="200" w:line-rule="auto"/>
        <w:ind w:firstLine="540"/>
        <w:jc w:val="both"/>
      </w:pPr>
      <w:r>
        <w:rPr>
          <w:sz w:val="20"/>
        </w:rPr>
        <w:t xml:space="preserve">2.7.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ординатуры, устанавливаемом федеральным государственным органом, в ведении которого находятся соответствующие организации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2.8. В рамках программы ординатуры выделяются обязательная часть и часть, формируемая участниками образовательных отношений.</w:t>
      </w:r>
    </w:p>
    <w:p>
      <w:pPr>
        <w:pStyle w:val="0"/>
        <w:spacing w:before="200" w:line-rule="auto"/>
        <w:ind w:firstLine="540"/>
        <w:jc w:val="both"/>
      </w:pPr>
      <w:r>
        <w:rPr>
          <w:sz w:val="20"/>
        </w:rPr>
        <w:t xml:space="preserve">К обязательной части программы ординатуры относятся дисциплины (модули) и практики, обеспечивающие формирование общепрофессиональных компетенций, определяемых ФГОС ВО.</w:t>
      </w:r>
    </w:p>
    <w:p>
      <w:pPr>
        <w:pStyle w:val="0"/>
        <w:spacing w:before="200" w:line-rule="auto"/>
        <w:ind w:firstLine="540"/>
        <w:jc w:val="both"/>
      </w:pPr>
      <w:r>
        <w:rPr>
          <w:sz w:val="20"/>
        </w:rP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ординатуры и (или) в часть, формируемую участниками образовательных отношений.</w:t>
      </w:r>
    </w:p>
    <w:p>
      <w:pPr>
        <w:pStyle w:val="0"/>
        <w:spacing w:before="200" w:line-rule="auto"/>
        <w:ind w:firstLine="540"/>
        <w:jc w:val="both"/>
      </w:pPr>
      <w:r>
        <w:rPr>
          <w:sz w:val="20"/>
        </w:rPr>
        <w:t xml:space="preserve">Объем обязательной части без учета объема государственной итоговой аттестации должен составлять не менее 90 процентов общего объема программы ординатуры.</w:t>
      </w:r>
    </w:p>
    <w:p>
      <w:pPr>
        <w:pStyle w:val="0"/>
        <w:spacing w:before="200" w:line-rule="auto"/>
        <w:ind w:firstLine="540"/>
        <w:jc w:val="both"/>
      </w:pPr>
      <w:r>
        <w:rPr>
          <w:sz w:val="20"/>
        </w:rPr>
        <w:t xml:space="preserve">2.9. Организация должна предоставлять инвалидам и лицам с ОВЗ (по их заявлению) возможность обучения по программе ординатуры,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2.10. Реализация части (частей) программы ординатуры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допускаются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2.11. Объем контактной работы обучающихся с педагогическими работниками Организации при проведении учебных занятий по программе ординатуры должен составлять не менее 50 процентов общего объема времени, отводимого на реализацию дисциплин (модулей).</w:t>
      </w:r>
    </w:p>
    <w:p>
      <w:pPr>
        <w:pStyle w:val="0"/>
        <w:spacing w:before="200" w:line-rule="auto"/>
        <w:ind w:firstLine="540"/>
        <w:jc w:val="both"/>
      </w:pPr>
      <w:r>
        <w:rPr>
          <w:sz w:val="20"/>
        </w:rPr>
        <w:t xml:space="preserve">2.12. Реализация практической подготовки обучающихся, осуществляемой в соответствии с </w:t>
      </w:r>
      <w:hyperlink w:history="0" r:id="rId24"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Порядком</w:t>
        </w:r>
      </w:hyperlink>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&lt;8&gt;, а также проведение государственной итоговой аттестации не допускаются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5"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Приказ</w:t>
        </w:r>
      </w:hyperlink>
      <w:r>
        <w:rPr>
          <w:sz w:val="20"/>
        </w:rPr>
        <w:t xml:space="preserve"> Министерства здравоохранения Российской Федерации от 3 сентября 2013 г. N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(зарегистрирован Министерством юстиции Российской Федерации 1 ноября 2013 г., регистрационный N 30304).</w:t>
      </w:r>
    </w:p>
    <w:p>
      <w:pPr>
        <w:pStyle w:val="0"/>
        <w:jc w:val="both"/>
      </w:pPr>
      <w:r>
        <w:rPr>
          <w:sz w:val="20"/>
        </w:rPr>
      </w:r>
    </w:p>
    <w:p>
      <w:pPr>
        <w:pStyle w:val="2"/>
        <w:outlineLvl w:val="1"/>
        <w:jc w:val="center"/>
      </w:pPr>
      <w:r>
        <w:rPr>
          <w:sz w:val="20"/>
        </w:rPr>
        <w:t xml:space="preserve">III. Требования к результатам освоения программы ординатуры</w:t>
      </w:r>
    </w:p>
    <w:p>
      <w:pPr>
        <w:pStyle w:val="0"/>
        <w:jc w:val="both"/>
      </w:pPr>
      <w:r>
        <w:rPr>
          <w:sz w:val="20"/>
        </w:rPr>
      </w:r>
    </w:p>
    <w:p>
      <w:pPr>
        <w:pStyle w:val="0"/>
        <w:ind w:firstLine="540"/>
        <w:jc w:val="both"/>
      </w:pPr>
      <w:r>
        <w:rPr>
          <w:sz w:val="20"/>
        </w:rPr>
        <w:t xml:space="preserve">3.1. В результате освоения программы ординатуры у выпускника должны быть сформированы компетенции, установленные программой ординатуры.</w:t>
      </w:r>
    </w:p>
    <w:p>
      <w:pPr>
        <w:pStyle w:val="0"/>
        <w:spacing w:before="200" w:line-rule="auto"/>
        <w:ind w:firstLine="540"/>
        <w:jc w:val="both"/>
      </w:pPr>
      <w:r>
        <w:rPr>
          <w:sz w:val="20"/>
        </w:rPr>
        <w:t xml:space="preserve">3.2. Программа ординатуры должна устанавливать следующие универсальные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tcW w:w="2494" w:type="dxa"/>
          </w:tcPr>
          <w:p>
            <w:pPr>
              <w:pStyle w:val="0"/>
              <w:jc w:val="center"/>
            </w:pPr>
            <w:r>
              <w:rPr>
                <w:sz w:val="20"/>
              </w:rPr>
              <w:t xml:space="preserve">Наименование категории (группы) универсальных компетенций</w:t>
            </w:r>
          </w:p>
        </w:tc>
        <w:tc>
          <w:tcPr>
            <w:tcW w:w="6576" w:type="dxa"/>
          </w:tcPr>
          <w:p>
            <w:pPr>
              <w:pStyle w:val="0"/>
              <w:jc w:val="center"/>
            </w:pPr>
            <w:r>
              <w:rPr>
                <w:sz w:val="20"/>
              </w:rPr>
              <w:t xml:space="preserve">Код и наименование универсальной компетенции выпускника</w:t>
            </w:r>
          </w:p>
        </w:tc>
      </w:tr>
      <w:tr>
        <w:tc>
          <w:tcPr>
            <w:tcW w:w="2494" w:type="dxa"/>
            <w:vAlign w:val="center"/>
          </w:tcPr>
          <w:p>
            <w:pPr>
              <w:pStyle w:val="0"/>
            </w:pPr>
            <w:r>
              <w:rPr>
                <w:sz w:val="20"/>
              </w:rPr>
              <w:t xml:space="preserve">Системное и критическое мышление</w:t>
            </w:r>
          </w:p>
        </w:tc>
        <w:tc>
          <w:tcPr>
            <w:tcW w:w="6576" w:type="dxa"/>
          </w:tcPr>
          <w:p>
            <w:pPr>
              <w:pStyle w:val="0"/>
              <w:jc w:val="both"/>
            </w:pPr>
            <w:r>
              <w:rPr>
                <w:sz w:val="20"/>
              </w:rPr>
              <w:t xml:space="preserve">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r>
      <w:tr>
        <w:tc>
          <w:tcPr>
            <w:tcW w:w="2494" w:type="dxa"/>
            <w:vAlign w:val="center"/>
          </w:tcPr>
          <w:p>
            <w:pPr>
              <w:pStyle w:val="0"/>
            </w:pPr>
            <w:r>
              <w:rPr>
                <w:sz w:val="20"/>
              </w:rPr>
              <w:t xml:space="preserve">Разработка и реализация проектов</w:t>
            </w:r>
          </w:p>
        </w:tc>
        <w:tc>
          <w:tcPr>
            <w:tcW w:w="6576" w:type="dxa"/>
          </w:tcPr>
          <w:p>
            <w:pPr>
              <w:pStyle w:val="0"/>
              <w:jc w:val="both"/>
            </w:pPr>
            <w:r>
              <w:rPr>
                <w:sz w:val="20"/>
              </w:rPr>
              <w:t xml:space="preserve">УК-2. Способен разрабатывать и реализовывать проект, управлять им</w:t>
            </w:r>
          </w:p>
        </w:tc>
      </w:tr>
      <w:tr>
        <w:tc>
          <w:tcPr>
            <w:tcW w:w="2494" w:type="dxa"/>
            <w:vAlign w:val="center"/>
          </w:tcPr>
          <w:p>
            <w:pPr>
              <w:pStyle w:val="0"/>
            </w:pPr>
            <w:r>
              <w:rPr>
                <w:sz w:val="20"/>
              </w:rPr>
              <w:t xml:space="preserve">Командная работа и лидерство</w:t>
            </w:r>
          </w:p>
        </w:tc>
        <w:tc>
          <w:tcPr>
            <w:tcW w:w="6576" w:type="dxa"/>
          </w:tcPr>
          <w:p>
            <w:pPr>
              <w:pStyle w:val="0"/>
              <w:jc w:val="both"/>
            </w:pPr>
            <w:r>
              <w:rPr>
                <w:sz w:val="20"/>
              </w:rPr>
              <w:t xml:space="preserve">УК-3. Способен организовывать и руководить работой команды, вырабатывая командную стратегию для достижения поставленной цели</w:t>
            </w:r>
          </w:p>
        </w:tc>
      </w:tr>
      <w:tr>
        <w:tc>
          <w:tcPr>
            <w:tcW w:w="2494" w:type="dxa"/>
            <w:vAlign w:val="center"/>
          </w:tcPr>
          <w:p>
            <w:pPr>
              <w:pStyle w:val="0"/>
            </w:pPr>
            <w:r>
              <w:rPr>
                <w:sz w:val="20"/>
              </w:rPr>
              <w:t xml:space="preserve">Коммуникация</w:t>
            </w:r>
          </w:p>
        </w:tc>
        <w:tc>
          <w:tcPr>
            <w:tcW w:w="6576" w:type="dxa"/>
          </w:tcPr>
          <w:p>
            <w:pPr>
              <w:pStyle w:val="0"/>
              <w:jc w:val="both"/>
            </w:pPr>
            <w:r>
              <w:rPr>
                <w:sz w:val="20"/>
              </w:rPr>
              <w:t xml:space="preserve">УК-4. Способен выстраивать взаимодействие в рамках своей профессиональной деятельности</w:t>
            </w:r>
          </w:p>
        </w:tc>
      </w:tr>
      <w:tr>
        <w:tc>
          <w:tcPr>
            <w:tcW w:w="2494" w:type="dxa"/>
            <w:vAlign w:val="center"/>
          </w:tcPr>
          <w:p>
            <w:pPr>
              <w:pStyle w:val="0"/>
            </w:pPr>
            <w:r>
              <w:rPr>
                <w:sz w:val="20"/>
              </w:rPr>
              <w:t xml:space="preserve">Самоорганизация и саморазвитие (в том числе здоровьесбережение)</w:t>
            </w:r>
          </w:p>
        </w:tc>
        <w:tc>
          <w:tcPr>
            <w:tcW w:w="6576" w:type="dxa"/>
          </w:tcPr>
          <w:p>
            <w:pPr>
              <w:pStyle w:val="0"/>
              <w:jc w:val="both"/>
            </w:pPr>
            <w:r>
              <w:rPr>
                <w:sz w:val="20"/>
              </w:rPr>
              <w:t xml:space="preserve">УК-5. Способен планировать и решать задачи собственного профессионального и личностного развития, включая задачи изменения карьерной траектории</w:t>
            </w:r>
          </w:p>
        </w:tc>
      </w:tr>
    </w:tbl>
    <w:p>
      <w:pPr>
        <w:pStyle w:val="0"/>
        <w:jc w:val="both"/>
      </w:pPr>
      <w:r>
        <w:rPr>
          <w:sz w:val="20"/>
        </w:rPr>
      </w:r>
    </w:p>
    <w:p>
      <w:pPr>
        <w:pStyle w:val="0"/>
        <w:ind w:firstLine="540"/>
        <w:jc w:val="both"/>
      </w:pPr>
      <w:r>
        <w:rPr>
          <w:sz w:val="20"/>
        </w:rPr>
        <w:t xml:space="preserve">3.3. Программа ординатуры должна устанавливать следующие общепрофессиональные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категории (группы) общепрофессиональных компетенций</w:t>
            </w:r>
          </w:p>
        </w:tc>
        <w:tc>
          <w:tcPr>
            <w:tcW w:w="7087" w:type="dxa"/>
          </w:tcPr>
          <w:p>
            <w:pPr>
              <w:pStyle w:val="0"/>
              <w:jc w:val="center"/>
            </w:pPr>
            <w:r>
              <w:rPr>
                <w:sz w:val="20"/>
              </w:rPr>
              <w:t xml:space="preserve">Код и наименование общепрофессиональной компетенции выпускника</w:t>
            </w:r>
          </w:p>
        </w:tc>
      </w:tr>
      <w:tr>
        <w:tc>
          <w:tcPr>
            <w:tcW w:w="1984" w:type="dxa"/>
          </w:tcPr>
          <w:p>
            <w:pPr>
              <w:pStyle w:val="0"/>
            </w:pPr>
            <w:r>
              <w:rPr>
                <w:sz w:val="20"/>
              </w:rPr>
              <w:t xml:space="preserve">Деятельность в сфере информационных технологий</w:t>
            </w:r>
          </w:p>
        </w:tc>
        <w:tc>
          <w:tcPr>
            <w:tcW w:w="7087" w:type="dxa"/>
          </w:tcPr>
          <w:p>
            <w:pPr>
              <w:pStyle w:val="0"/>
              <w:jc w:val="both"/>
            </w:pPr>
            <w:r>
              <w:rPr>
                <w:sz w:val="20"/>
              </w:rPr>
              <w:t xml:space="preserve">ОПК-1. 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r>
      <w:tr>
        <w:tc>
          <w:tcPr>
            <w:tcW w:w="1984" w:type="dxa"/>
          </w:tcPr>
          <w:p>
            <w:pPr>
              <w:pStyle w:val="0"/>
            </w:pPr>
            <w:r>
              <w:rPr>
                <w:sz w:val="20"/>
              </w:rPr>
              <w:t xml:space="preserve">Организационно-управленческая деятельность</w:t>
            </w:r>
          </w:p>
        </w:tc>
        <w:tc>
          <w:tcPr>
            <w:tcW w:w="7087" w:type="dxa"/>
          </w:tcPr>
          <w:p>
            <w:pPr>
              <w:pStyle w:val="0"/>
              <w:jc w:val="both"/>
            </w:pPr>
            <w:r>
              <w:rPr>
                <w:sz w:val="20"/>
              </w:rPr>
              <w:t xml:space="preserve">ОПК-2.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r>
      <w:tr>
        <w:tc>
          <w:tcPr>
            <w:tcW w:w="1984" w:type="dxa"/>
          </w:tcPr>
          <w:p>
            <w:pPr>
              <w:pStyle w:val="0"/>
            </w:pPr>
            <w:r>
              <w:rPr>
                <w:sz w:val="20"/>
              </w:rPr>
              <w:t xml:space="preserve">Педагогическая деятельность</w:t>
            </w:r>
          </w:p>
        </w:tc>
        <w:tc>
          <w:tcPr>
            <w:tcW w:w="7087" w:type="dxa"/>
          </w:tcPr>
          <w:p>
            <w:pPr>
              <w:pStyle w:val="0"/>
              <w:jc w:val="both"/>
            </w:pPr>
            <w:r>
              <w:rPr>
                <w:sz w:val="20"/>
              </w:rPr>
              <w:t xml:space="preserve">ОПК-3. Способен осуществлять педагогическую деятельность</w:t>
            </w:r>
          </w:p>
        </w:tc>
      </w:tr>
      <w:tr>
        <w:tc>
          <w:tcPr>
            <w:tcW w:w="1984" w:type="dxa"/>
            <w:vMerge w:val="restart"/>
          </w:tcPr>
          <w:p>
            <w:pPr>
              <w:pStyle w:val="0"/>
            </w:pPr>
            <w:r>
              <w:rPr>
                <w:sz w:val="20"/>
              </w:rPr>
              <w:t xml:space="preserve">Медицинская деятельность</w:t>
            </w:r>
          </w:p>
        </w:tc>
        <w:tc>
          <w:tcPr>
            <w:tcW w:w="7087" w:type="dxa"/>
          </w:tcPr>
          <w:p>
            <w:pPr>
              <w:pStyle w:val="0"/>
              <w:jc w:val="both"/>
            </w:pPr>
            <w:r>
              <w:rPr>
                <w:sz w:val="20"/>
              </w:rPr>
              <w:t xml:space="preserve">ОПК-4. Способен проводить клиническую диагностику и обследование пациентов</w:t>
            </w:r>
          </w:p>
        </w:tc>
      </w:tr>
      <w:tr>
        <w:tc>
          <w:tcPr>
            <w:vMerge w:val="continue"/>
          </w:tcPr>
          <w:p/>
        </w:tc>
        <w:tc>
          <w:tcPr>
            <w:tcW w:w="7087" w:type="dxa"/>
          </w:tcPr>
          <w:p>
            <w:pPr>
              <w:pStyle w:val="0"/>
              <w:jc w:val="both"/>
            </w:pPr>
            <w:r>
              <w:rPr>
                <w:sz w:val="20"/>
              </w:rPr>
              <w:t xml:space="preserve">ОПК-5. Способен назначать лечение пациентам при заболеваниях и (или) состояниях, контролировать его эффективность и безопасность</w:t>
            </w:r>
          </w:p>
        </w:tc>
      </w:tr>
      <w:tr>
        <w:tc>
          <w:tcPr>
            <w:vMerge w:val="continue"/>
          </w:tcPr>
          <w:p/>
        </w:tc>
        <w:tc>
          <w:tcPr>
            <w:tcW w:w="7087" w:type="dxa"/>
          </w:tcPr>
          <w:p>
            <w:pPr>
              <w:pStyle w:val="0"/>
              <w:jc w:val="both"/>
            </w:pPr>
            <w:r>
              <w:rPr>
                <w:sz w:val="20"/>
              </w:rPr>
              <w:t xml:space="preserve">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r>
      <w:tr>
        <w:tc>
          <w:tcPr>
            <w:vMerge w:val="continue"/>
          </w:tcPr>
          <w:p/>
        </w:tc>
        <w:tc>
          <w:tcPr>
            <w:tcW w:w="7087" w:type="dxa"/>
          </w:tcPr>
          <w:p>
            <w:pPr>
              <w:pStyle w:val="0"/>
              <w:jc w:val="both"/>
            </w:pPr>
            <w:r>
              <w:rPr>
                <w:sz w:val="20"/>
              </w:rPr>
              <w:t xml:space="preserve">ОПК-7. Способен проводить в отношении пациентов медицинскую экспертизу</w:t>
            </w:r>
          </w:p>
        </w:tc>
      </w:tr>
      <w:tr>
        <w:tc>
          <w:tcPr>
            <w:vMerge w:val="continue"/>
          </w:tcPr>
          <w:p/>
        </w:tc>
        <w:tc>
          <w:tcPr>
            <w:tcW w:w="7087" w:type="dxa"/>
          </w:tcPr>
          <w:p>
            <w:pPr>
              <w:pStyle w:val="0"/>
              <w:jc w:val="both"/>
            </w:pPr>
            <w:r>
              <w:rPr>
                <w:sz w:val="20"/>
              </w:rPr>
              <w:t xml:space="preserve">ОПК-8. Способен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w:t>
            </w:r>
          </w:p>
        </w:tc>
      </w:tr>
      <w:tr>
        <w:tc>
          <w:tcPr>
            <w:vMerge w:val="continue"/>
          </w:tcPr>
          <w:p/>
        </w:tc>
        <w:tc>
          <w:tcPr>
            <w:tcW w:w="7087" w:type="dxa"/>
          </w:tcPr>
          <w:p>
            <w:pPr>
              <w:pStyle w:val="0"/>
              <w:jc w:val="both"/>
            </w:pPr>
            <w:r>
              <w:rPr>
                <w:sz w:val="20"/>
              </w:rPr>
              <w:t xml:space="preserve">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r>
      <w:tr>
        <w:tc>
          <w:tcPr>
            <w:vMerge w:val="continue"/>
          </w:tcPr>
          <w:p/>
        </w:tc>
        <w:tc>
          <w:tcPr>
            <w:tcW w:w="7087" w:type="dxa"/>
          </w:tcPr>
          <w:p>
            <w:pPr>
              <w:pStyle w:val="0"/>
              <w:jc w:val="both"/>
            </w:pPr>
            <w:r>
              <w:rPr>
                <w:sz w:val="20"/>
              </w:rPr>
              <w:t xml:space="preserve">ОПК-10. Способен участвовать в оказании неотложной медицинской помощи при состояниях, требующих срочного медицинского вмешательства</w:t>
            </w:r>
          </w:p>
        </w:tc>
      </w:tr>
    </w:tbl>
    <w:p>
      <w:pPr>
        <w:pStyle w:val="0"/>
        <w:jc w:val="both"/>
      </w:pPr>
      <w:r>
        <w:rPr>
          <w:sz w:val="20"/>
        </w:rPr>
      </w:r>
    </w:p>
    <w:p>
      <w:pPr>
        <w:pStyle w:val="0"/>
        <w:ind w:firstLine="540"/>
        <w:jc w:val="both"/>
      </w:pPr>
      <w:r>
        <w:rPr>
          <w:sz w:val="20"/>
        </w:rP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направленности (профиля) программ ординатуры, указанных в </w:t>
      </w:r>
      <w:hyperlink w:history="0" w:anchor="P47" w:tooltip="1.5. Программа ординатуры,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статьи 81 Федерального закона от 29 декабря 2012 г. N 273-ФЗ &quot;Об образовании в Российской Федерации&quot; (далее - федеральные государственные организации, осуществляющие подготовку кадров в интересах обороны и безопасности государства, обеспечения з...">
        <w:r>
          <w:rPr>
            <w:sz w:val="20"/>
            <w:color w:val="0000ff"/>
          </w:rPr>
          <w:t xml:space="preserve">пункте 1.5</w:t>
        </w:r>
      </w:hyperlink>
      <w:r>
        <w:rPr>
          <w:sz w:val="20"/>
        </w:rPr>
        <w:t xml:space="preserve"> ФГОС ВО).</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программы ординатуры, определяется квалификационными требованиями к военно-профессиональной,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w:history="0" r:id="rId27">
        <w:r>
          <w:rPr>
            <w:sz w:val="20"/>
            <w:color w:val="0000ff"/>
          </w:rPr>
          <w:t xml:space="preserve">http://profstandart.rosmintrud.ru</w:t>
        </w:r>
      </w:hyperlink>
      <w:r>
        <w:rPr>
          <w:sz w:val="20"/>
        </w:rPr>
        <w:t xml:space="preserve">) &lt;10&gt; (при наличии соответствующих профессиональных стандартов).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8"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Пункт 1</w:t>
        </w:r>
      </w:hyperlink>
      <w:r>
        <w:rPr>
          <w:sz w:val="20"/>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w:t>
      </w:r>
      <w:hyperlink w:history="0" r:id="rId29" w:tooltip="Приказ Минтруда России от 12.04.2013 N 148н &quot;Об утверждении уровней квалификации в целях разработки проектов профессиональных стандартов&quot; (Зарегистрировано в Минюсте России 27.05.2013 N 28534) {КонсультантПлюс}">
        <w:r>
          <w:rPr>
            <w:sz w:val="20"/>
            <w:color w:val="0000ff"/>
          </w:rPr>
          <w:t xml:space="preserve">уровня</w:t>
        </w:r>
      </w:hyperlink>
      <w:r>
        <w:rPr>
          <w:sz w:val="20"/>
        </w:rPr>
        <w:t xml:space="preserve"> квалификации &lt;11&gt; и требований раздела "Требования к образованию и обучению". ОТФ может быть выделена полностью или частично.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0" w:tooltip="Приказ Минтруда России от 12.04.2013 N 148н &quot;Об утверждении уровней квалификации в целях разработки проектов профессиональных стандартов&quot; (Зарегистрировано в Минюсте России 27.05.2013 N 28534)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pPr>
        <w:pStyle w:val="0"/>
        <w:jc w:val="both"/>
      </w:pPr>
      <w:r>
        <w:rPr>
          <w:sz w:val="20"/>
        </w:rPr>
      </w:r>
    </w:p>
    <w:p>
      <w:pPr>
        <w:pStyle w:val="0"/>
        <w:ind w:firstLine="540"/>
        <w:jc w:val="both"/>
      </w:pPr>
      <w:r>
        <w:rPr>
          <w:sz w:val="20"/>
        </w:rP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pPr>
        <w:pStyle w:val="0"/>
        <w:spacing w:before="200" w:line-rule="auto"/>
        <w:ind w:firstLine="540"/>
        <w:jc w:val="both"/>
      </w:pPr>
      <w:r>
        <w:rPr>
          <w:sz w:val="20"/>
        </w:rPr>
        <w:t xml:space="preserve">3.6. Совокупность компетенций, установленных программой ординатуры,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history="0" w:anchor="P75" w:tooltip="1.12. Области профессиональной деятельности &lt;5&gt; 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
        <w:r>
          <w:rPr>
            <w:sz w:val="20"/>
            <w:color w:val="0000ff"/>
          </w:rPr>
          <w:t xml:space="preserve">пунктом 1.12</w:t>
        </w:r>
      </w:hyperlink>
      <w:r>
        <w:rPr>
          <w:sz w:val="20"/>
        </w:rPr>
        <w:t xml:space="preserve"> ФГОС ВО, и решать задачи профессиональной деятельности не менее чем одного типа, установленного в соответствии с </w:t>
      </w:r>
      <w:hyperlink w:history="0" w:anchor="P83" w:tooltip="1.13. В рамках освоения программы ординатуры выпускники могут готовиться к решению задач профессиональной деятельности следующих типов:">
        <w:r>
          <w:rPr>
            <w:sz w:val="20"/>
            <w:color w:val="0000ff"/>
          </w:rPr>
          <w:t xml:space="preserve">пунктом 1.13</w:t>
        </w:r>
      </w:hyperlink>
      <w:r>
        <w:rPr>
          <w:sz w:val="20"/>
        </w:rPr>
        <w:t xml:space="preserve"> ФГОС ВО.</w:t>
      </w:r>
    </w:p>
    <w:p>
      <w:pPr>
        <w:pStyle w:val="0"/>
        <w:spacing w:before="200" w:line-rule="auto"/>
        <w:ind w:firstLine="540"/>
        <w:jc w:val="both"/>
      </w:pPr>
      <w:r>
        <w:rPr>
          <w:sz w:val="20"/>
        </w:rPr>
        <w:t xml:space="preserve">3.7. Организация устанавливает в программе ординатуры индикаторы достижения компетенций самостоятельно.</w:t>
      </w:r>
    </w:p>
    <w:p>
      <w:pPr>
        <w:pStyle w:val="0"/>
        <w:spacing w:before="200" w:line-rule="auto"/>
        <w:ind w:firstLine="540"/>
        <w:jc w:val="both"/>
      </w:pPr>
      <w:r>
        <w:rPr>
          <w:sz w:val="20"/>
        </w:rP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ординатуры индикаторами достижения компетенций.</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ординатуры.</w:t>
      </w:r>
    </w:p>
    <w:p>
      <w:pPr>
        <w:pStyle w:val="0"/>
        <w:jc w:val="both"/>
      </w:pPr>
      <w:r>
        <w:rPr>
          <w:sz w:val="20"/>
        </w:rPr>
      </w:r>
    </w:p>
    <w:p>
      <w:pPr>
        <w:pStyle w:val="2"/>
        <w:outlineLvl w:val="1"/>
        <w:jc w:val="center"/>
      </w:pPr>
      <w:r>
        <w:rPr>
          <w:sz w:val="20"/>
        </w:rPr>
        <w:t xml:space="preserve">IV. Требования к условиям реализации программы ординатуры</w:t>
      </w:r>
    </w:p>
    <w:p>
      <w:pPr>
        <w:pStyle w:val="0"/>
        <w:jc w:val="both"/>
      </w:pPr>
      <w:r>
        <w:rPr>
          <w:sz w:val="20"/>
        </w:rPr>
      </w:r>
    </w:p>
    <w:p>
      <w:pPr>
        <w:pStyle w:val="0"/>
        <w:ind w:firstLine="540"/>
        <w:jc w:val="both"/>
      </w:pPr>
      <w:r>
        <w:rPr>
          <w:sz w:val="20"/>
        </w:rPr>
        <w:t xml:space="preserve">4.1. Требования к условиям реализации программы ординатуры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ординатуры, а также требования к применяемым механизмам оценки качества образовательной деятельности и подготовки обучающихся по программе ординатуры.</w:t>
      </w:r>
    </w:p>
    <w:p>
      <w:pPr>
        <w:pStyle w:val="0"/>
        <w:ind w:firstLine="540"/>
        <w:jc w:val="both"/>
      </w:pPr>
      <w:r>
        <w:rPr>
          <w:sz w:val="20"/>
        </w:rPr>
      </w:r>
    </w:p>
    <w:p>
      <w:pPr>
        <w:pStyle w:val="2"/>
        <w:outlineLvl w:val="2"/>
        <w:ind w:firstLine="540"/>
        <w:jc w:val="both"/>
      </w:pPr>
      <w:r>
        <w:rPr>
          <w:sz w:val="20"/>
        </w:rPr>
        <w:t xml:space="preserve">4.2. Общесистемные требования к реализации программы ординатуры.</w:t>
      </w:r>
    </w:p>
    <w:p>
      <w:pPr>
        <w:pStyle w:val="0"/>
        <w:spacing w:before="200" w:line-rule="auto"/>
        <w:ind w:firstLine="540"/>
        <w:jc w:val="both"/>
      </w:pPr>
      <w:r>
        <w:rPr>
          <w:sz w:val="20"/>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ординатуры по </w:t>
      </w:r>
      <w:hyperlink w:history="0" w:anchor="P107" w:tooltip="Блок 1">
        <w:r>
          <w:rPr>
            <w:sz w:val="20"/>
            <w:color w:val="0000ff"/>
          </w:rPr>
          <w:t xml:space="preserve">Блоку 1</w:t>
        </w:r>
      </w:hyperlink>
      <w:r>
        <w:rPr>
          <w:sz w:val="20"/>
        </w:rPr>
        <w:t xml:space="preserve"> "Дисциплины (модули)" и </w:t>
      </w:r>
      <w:hyperlink w:history="0" w:anchor="P113" w:tooltip="Блок 3">
        <w:r>
          <w:rPr>
            <w:sz w:val="20"/>
            <w:color w:val="0000ff"/>
          </w:rPr>
          <w:t xml:space="preserve">Блоку 3</w:t>
        </w:r>
      </w:hyperlink>
      <w:r>
        <w:rPr>
          <w:sz w:val="20"/>
        </w:rPr>
        <w:t xml:space="preserve"> "Государственная итоговая аттестация" в соответствии с учебным планом.</w:t>
      </w:r>
    </w:p>
    <w:p>
      <w:pPr>
        <w:pStyle w:val="0"/>
        <w:spacing w:before="200" w:line-rule="auto"/>
        <w:ind w:firstLine="540"/>
        <w:jc w:val="both"/>
      </w:pPr>
      <w:r>
        <w:rPr>
          <w:sz w:val="20"/>
        </w:rP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его работ и оценок за эти работы.</w:t>
      </w:r>
    </w:p>
    <w:p>
      <w:pPr>
        <w:pStyle w:val="0"/>
        <w:spacing w:before="200" w:line-rule="auto"/>
        <w:ind w:firstLine="540"/>
        <w:jc w:val="both"/>
      </w:pPr>
      <w:r>
        <w:rPr>
          <w:sz w:val="20"/>
        </w:rPr>
        <w:t xml:space="preserve">В случае реализации программы ординатуры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программы ординатуры;</w:t>
      </w:r>
    </w:p>
    <w:p>
      <w:pPr>
        <w:pStyle w:val="0"/>
        <w:spacing w:before="200" w:line-rule="auto"/>
        <w:ind w:firstLine="540"/>
        <w:jc w:val="both"/>
      </w:pPr>
      <w:r>
        <w:rPr>
          <w:sz w:val="20"/>
        </w:rPr>
        <w:t xml:space="preserve">проведение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Федеральный </w:t>
      </w:r>
      <w:hyperlink w:history="0" r:id="rId31"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2022, N 29, ст. 5292), Федеральный </w:t>
      </w:r>
      <w:hyperlink w:history="0" r:id="rId32"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2022, N 29, ст. 5233).</w:t>
      </w:r>
    </w:p>
    <w:p>
      <w:pPr>
        <w:pStyle w:val="0"/>
        <w:jc w:val="both"/>
      </w:pPr>
      <w:r>
        <w:rPr>
          <w:sz w:val="20"/>
        </w:rPr>
      </w:r>
    </w:p>
    <w:p>
      <w:pPr>
        <w:pStyle w:val="0"/>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pPr>
        <w:pStyle w:val="0"/>
        <w:spacing w:before="200" w:line-rule="auto"/>
        <w:ind w:firstLine="540"/>
        <w:jc w:val="both"/>
      </w:pPr>
      <w:r>
        <w:rPr>
          <w:sz w:val="20"/>
        </w:rPr>
        <w:t xml:space="preserve">4.2.3. При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4.3.1. Помещения должны представлять собой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pPr>
        <w:pStyle w:val="0"/>
        <w:spacing w:before="200" w:line-rule="auto"/>
        <w:ind w:firstLine="540"/>
        <w:jc w:val="both"/>
      </w:pPr>
      <w:r>
        <w:rPr>
          <w:sz w:val="20"/>
        </w:rP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pPr>
        <w:pStyle w:val="0"/>
        <w:spacing w:before="200" w:line-rule="auto"/>
        <w:ind w:firstLine="540"/>
        <w:jc w:val="both"/>
      </w:pPr>
      <w:r>
        <w:rPr>
          <w:sz w:val="20"/>
        </w:rPr>
        <w:t xml:space="preserve">Минимально необходимый для реализации программы ординатуры перечень материально-технического и учебно-методического обеспечения включает в себя в том числе помещения для симуляционного обучения,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трудовые действия и формировать необходимые навыки для выполнения трудовых функций, предусмотренных профессиональным стандартом, индивидуально.</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pPr>
        <w:pStyle w:val="0"/>
        <w:spacing w:before="200" w:line-rule="auto"/>
        <w:ind w:firstLine="540"/>
        <w:jc w:val="both"/>
      </w:pPr>
      <w:r>
        <w:rPr>
          <w:sz w:val="20"/>
        </w:rPr>
        <w:t xml:space="preserve">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4.3.3. При использовании в образовательном процессе печатных изданий библиотечный фонд Организации должен быть укомплектован печатными изданиями из расчета не менее 0,25 экземпляра каждого из изданий, указанных в рабочих программах дисциплин (модулей) и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практическую подготовку.</w:t>
      </w:r>
    </w:p>
    <w:p>
      <w:pPr>
        <w:pStyle w:val="0"/>
        <w:spacing w:before="200" w:line-rule="auto"/>
        <w:ind w:firstLine="540"/>
        <w:jc w:val="both"/>
      </w:pPr>
      <w:r>
        <w:rPr>
          <w:sz w:val="20"/>
        </w:rP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pPr>
        <w:pStyle w:val="0"/>
        <w:spacing w:before="200" w:line-rule="auto"/>
        <w:ind w:firstLine="540"/>
        <w:jc w:val="both"/>
      </w:pPr>
      <w:r>
        <w:rPr>
          <w:sz w:val="20"/>
        </w:rPr>
        <w:t xml:space="preserve">4.3.5. Электронная информационно-образовательная среда должна обеспечивать одновременный доступ к системе не менее 25 процентов обучающихся по программе ординатуры.</w:t>
      </w:r>
    </w:p>
    <w:p>
      <w:pPr>
        <w:pStyle w:val="0"/>
        <w:spacing w:before="200" w:line-rule="auto"/>
        <w:ind w:firstLine="540"/>
        <w:jc w:val="both"/>
      </w:pPr>
      <w:r>
        <w:rPr>
          <w:sz w:val="20"/>
        </w:rPr>
        <w:t xml:space="preserve">4.3.6.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программы ординатуры.</w:t>
      </w:r>
    </w:p>
    <w:p>
      <w:pPr>
        <w:pStyle w:val="0"/>
        <w:spacing w:before="200" w:line-rule="auto"/>
        <w:ind w:firstLine="540"/>
        <w:jc w:val="both"/>
      </w:pPr>
      <w:r>
        <w:rPr>
          <w:sz w:val="20"/>
        </w:rPr>
        <w:t xml:space="preserve">4.4.1. Реализация программы ординатуры обеспечивается педагогическими работниками Организации, а также лицами, привлекаемыми Организацией к реализации программы ординатуры на иных условиях в соответствии с </w:t>
      </w:r>
      <w:hyperlink w:history="0" r:id="rId3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Порядком</w:t>
        </w:r>
      </w:hyperlink>
      <w:r>
        <w:rPr>
          <w:sz w:val="20"/>
        </w:rPr>
        <w:t xml:space="preserve">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4"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Приказ</w:t>
        </w:r>
      </w:hyperlink>
      <w:r>
        <w:rPr>
          <w:sz w:val="20"/>
        </w:rPr>
        <w:t xml:space="preserve"> Министерства здравоохранения Российской Федерации от 10 сентября 2013 г. N 637н "Об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 (зарегистрирован Министерством юстиции Российской Федерации 27 февраля 2014 г., регистрационный N 31439) с изменением, внесенным приказом Министерства здравоохранения Российской Федерации от 28 сентября 2020 г. N 1034н (зарегистрирован Министерством юстиции Российской Федерации 19 октября 2020 г., регистрационный N 60458).</w:t>
      </w:r>
    </w:p>
    <w:p>
      <w:pPr>
        <w:pStyle w:val="0"/>
        <w:jc w:val="both"/>
      </w:pPr>
      <w:r>
        <w:rPr>
          <w:sz w:val="20"/>
        </w:rPr>
      </w:r>
    </w:p>
    <w:p>
      <w:pPr>
        <w:pStyle w:val="0"/>
        <w:ind w:firstLine="540"/>
        <w:jc w:val="both"/>
      </w:pPr>
      <w:r>
        <w:rPr>
          <w:sz w:val="20"/>
        </w:rPr>
        <w:t xml:space="preserve">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pPr>
        <w:pStyle w:val="0"/>
        <w:spacing w:before="200" w:line-rule="auto"/>
        <w:ind w:firstLine="540"/>
        <w:jc w:val="both"/>
      </w:pPr>
      <w:r>
        <w:rPr>
          <w:sz w:val="20"/>
        </w:rPr>
        <w:t xml:space="preserve">4.4.3. Не менее 70 процентов численности педагогических работников Организации,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pPr>
        <w:pStyle w:val="0"/>
        <w:spacing w:before="200" w:line-rule="auto"/>
        <w:ind w:firstLine="540"/>
        <w:jc w:val="both"/>
      </w:pPr>
      <w:r>
        <w:rPr>
          <w:sz w:val="20"/>
        </w:rPr>
        <w:t xml:space="preserve">4.4.4. Не менее 10 процентов численности педагогических работников Организации,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доля указанных педагогических работников должна составлять не менее 1 процента их общей численности.</w:t>
      </w:r>
    </w:p>
    <w:p>
      <w:pPr>
        <w:pStyle w:val="0"/>
        <w:spacing w:before="200" w:line-rule="auto"/>
        <w:ind w:firstLine="540"/>
        <w:jc w:val="both"/>
      </w:pPr>
      <w:r>
        <w:rPr>
          <w:sz w:val="20"/>
        </w:rPr>
        <w:t xml:space="preserve">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ординатуры, не менее 10 лет, воинское (специальное) звание не ниже "подполковник" ("капитан 2 ранга"), а также имеющие боевой опыт, или государственные награды, или государственные (отраслевые) почетные звания, или государственные премии.</w:t>
      </w:r>
    </w:p>
    <w:p>
      <w:pPr>
        <w:pStyle w:val="0"/>
        <w:spacing w:before="200" w:line-rule="auto"/>
        <w:ind w:firstLine="540"/>
        <w:jc w:val="both"/>
      </w:pPr>
      <w:r>
        <w:rPr>
          <w:sz w:val="20"/>
        </w:rPr>
        <w:t xml:space="preserve">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и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pPr>
        <w:pStyle w:val="0"/>
        <w:spacing w:before="200" w:line-rule="auto"/>
        <w:ind w:firstLine="540"/>
        <w:jc w:val="both"/>
      </w:pPr>
      <w:r>
        <w:rPr>
          <w:sz w:val="20"/>
        </w:rPr>
        <w:t xml:space="preserve">4.4.6. Общее руководство научным содержанием программы ординатуры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специальности,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программы ординатуры.</w:t>
      </w:r>
    </w:p>
    <w:p>
      <w:pPr>
        <w:pStyle w:val="0"/>
        <w:spacing w:before="200" w:line-rule="auto"/>
        <w:ind w:firstLine="540"/>
        <w:jc w:val="both"/>
      </w:pPr>
      <w:r>
        <w:rPr>
          <w:sz w:val="20"/>
        </w:rPr>
        <w:t xml:space="preserve">4.5.1. 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ординатуры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5" w:tooltip="Постановление Правительства РФ от 26.06.2015 N 640 (ред. от 16.05.2023)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 {КонсультантПлюс}">
        <w:r>
          <w:rPr>
            <w:sz w:val="20"/>
            <w:color w:val="0000ff"/>
          </w:rPr>
          <w:t xml:space="preserve">Пункт 10</w:t>
        </w:r>
      </w:hyperlink>
      <w:r>
        <w:rPr>
          <w:sz w:val="20"/>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pPr>
        <w:pStyle w:val="0"/>
        <w:jc w:val="both"/>
      </w:pPr>
      <w:r>
        <w:rPr>
          <w:sz w:val="20"/>
        </w:rPr>
      </w:r>
    </w:p>
    <w:p>
      <w:pPr>
        <w:pStyle w:val="0"/>
        <w:ind w:firstLine="540"/>
        <w:jc w:val="both"/>
      </w:pPr>
      <w:r>
        <w:rPr>
          <w:sz w:val="20"/>
        </w:rPr>
        <w:t xml:space="preserve">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ординатуры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деятельности и подготовки обучающихся по программе ординатуры.</w:t>
      </w:r>
    </w:p>
    <w:p>
      <w:pPr>
        <w:pStyle w:val="0"/>
        <w:spacing w:before="200" w:line-rule="auto"/>
        <w:ind w:firstLine="540"/>
        <w:jc w:val="both"/>
      </w:pPr>
      <w:r>
        <w:rPr>
          <w:sz w:val="20"/>
        </w:rPr>
        <w:t xml:space="preserve">4.6.1. Качество образовательной деятельности и подготовки обучающихся по программе ординатуры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pPr>
        <w:pStyle w:val="0"/>
        <w:spacing w:before="200" w:line-rule="auto"/>
        <w:ind w:firstLine="540"/>
        <w:jc w:val="both"/>
      </w:pPr>
      <w:r>
        <w:rPr>
          <w:sz w:val="20"/>
        </w:rPr>
        <w:t xml:space="preserve">4.6.2. В целях совершенствования программы ординатуры Организация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(или) их объединения, иных юридических и (или) физических лиц, включая педагогических работников Организации.</w:t>
      </w:r>
    </w:p>
    <w:p>
      <w:pPr>
        <w:pStyle w:val="0"/>
        <w:spacing w:before="200" w:line-rule="auto"/>
        <w:ind w:firstLine="540"/>
        <w:jc w:val="both"/>
      </w:pPr>
      <w:r>
        <w:rPr>
          <w:sz w:val="20"/>
        </w:rPr>
        <w:t xml:space="preserve">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pPr>
        <w:pStyle w:val="0"/>
        <w:spacing w:before="200" w:line-rule="auto"/>
        <w:ind w:firstLine="540"/>
        <w:jc w:val="both"/>
      </w:pPr>
      <w:r>
        <w:rPr>
          <w:sz w:val="20"/>
        </w:rPr>
        <w:t xml:space="preserve">4.6.3. Внешняя оценка качества образовательной деятельности по программе 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требованиям ФГОС ВО.</w:t>
      </w:r>
    </w:p>
    <w:p>
      <w:pPr>
        <w:pStyle w:val="0"/>
        <w:spacing w:before="200" w:line-rule="auto"/>
        <w:ind w:firstLine="540"/>
        <w:jc w:val="both"/>
      </w:pPr>
      <w:r>
        <w:rPr>
          <w:sz w:val="20"/>
        </w:rPr>
        <w:t xml:space="preserve">4.6.4. Внешняя оценка качества образовательной деятельности и подготовки обучающихся по программе ординатуры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ординатуры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09.01.2023 N 18</w:t>
            <w:br/>
            <w:t>"Об утверждении федерального государственного образовательного стандарта вы...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828&amp;dst=100061" TargetMode = "External"/>
	<Relationship Id="rId8" Type="http://schemas.openxmlformats.org/officeDocument/2006/relationships/hyperlink" Target="https://login.consultant.ru/link/?req=doc&amp;base=LAW&amp;n=481262&amp;dst=100072" TargetMode = "External"/>
	<Relationship Id="rId9" Type="http://schemas.openxmlformats.org/officeDocument/2006/relationships/hyperlink" Target="https://login.consultant.ru/link/?req=doc&amp;base=LAW&amp;n=170397&amp;dst=100010" TargetMode = "External"/>
	<Relationship Id="rId10" Type="http://schemas.openxmlformats.org/officeDocument/2006/relationships/hyperlink" Target="https://login.consultant.ru/link/?req=doc&amp;base=LAW&amp;n=414616&amp;dst=102123" TargetMode = "External"/>
	<Relationship Id="rId11" Type="http://schemas.openxmlformats.org/officeDocument/2006/relationships/hyperlink" Target="https://login.consultant.ru/link/?req=doc&amp;base=LAW&amp;n=478592&amp;dst=39" TargetMode = "External"/>
	<Relationship Id="rId12" Type="http://schemas.openxmlformats.org/officeDocument/2006/relationships/hyperlink" Target="https://login.consultant.ru/link/?req=doc&amp;base=LAW&amp;n=478592" TargetMode = "External"/>
	<Relationship Id="rId13" Type="http://schemas.openxmlformats.org/officeDocument/2006/relationships/hyperlink" Target="https://login.consultant.ru/link/?req=doc&amp;base=LAW&amp;n=478592&amp;dst=506" TargetMode = "External"/>
	<Relationship Id="rId14" Type="http://schemas.openxmlformats.org/officeDocument/2006/relationships/hyperlink" Target="https://login.consultant.ru/link/?req=doc&amp;base=LAW&amp;n=478592&amp;dst=101080" TargetMode = "External"/>
	<Relationship Id="rId15" Type="http://schemas.openxmlformats.org/officeDocument/2006/relationships/hyperlink" Target="https://login.consultant.ru/link/?req=doc&amp;base=LAW&amp;n=478592&amp;dst=101085" TargetMode = "External"/>
	<Relationship Id="rId16" Type="http://schemas.openxmlformats.org/officeDocument/2006/relationships/hyperlink" Target="https://login.consultant.ru/link/?req=doc&amp;base=LAW&amp;n=478592&amp;dst=712" TargetMode = "External"/>
	<Relationship Id="rId17" Type="http://schemas.openxmlformats.org/officeDocument/2006/relationships/hyperlink" Target="https://login.consultant.ru/link/?req=doc&amp;base=LAW&amp;n=478592&amp;dst=100249" TargetMode = "External"/>
	<Relationship Id="rId18" Type="http://schemas.openxmlformats.org/officeDocument/2006/relationships/hyperlink" Target="https://login.consultant.ru/link/?req=doc&amp;base=LAW&amp;n=214720&amp;dst=100047" TargetMode = "External"/>
	<Relationship Id="rId19" Type="http://schemas.openxmlformats.org/officeDocument/2006/relationships/hyperlink" Target="https://login.consultant.ru/link/?req=doc&amp;base=LAW&amp;n=214720&amp;dst=100050" TargetMode = "External"/>
	<Relationship Id="rId20" Type="http://schemas.openxmlformats.org/officeDocument/2006/relationships/hyperlink" Target="https://login.consultant.ru/link/?req=doc&amp;base=LAW&amp;n=214720&amp;dst=100052" TargetMode = "External"/>
	<Relationship Id="rId21" Type="http://schemas.openxmlformats.org/officeDocument/2006/relationships/hyperlink" Target="https://login.consultant.ru/link/?req=doc&amp;base=LAW&amp;n=214720&amp;dst=100062" TargetMode = "External"/>
	<Relationship Id="rId22" Type="http://schemas.openxmlformats.org/officeDocument/2006/relationships/hyperlink" Target="https://login.consultant.ru/link/?req=doc&amp;base=LAW&amp;n=478592&amp;dst=101087" TargetMode = "External"/>
	<Relationship Id="rId23" Type="http://schemas.openxmlformats.org/officeDocument/2006/relationships/hyperlink" Target="https://login.consultant.ru/link/?req=doc&amp;base=LAW&amp;n=478592&amp;dst=506" TargetMode = "External"/>
	<Relationship Id="rId24" Type="http://schemas.openxmlformats.org/officeDocument/2006/relationships/hyperlink" Target="https://login.consultant.ru/link/?req=doc&amp;base=LAW&amp;n=154176&amp;dst=100009" TargetMode = "External"/>
	<Relationship Id="rId25" Type="http://schemas.openxmlformats.org/officeDocument/2006/relationships/hyperlink" Target="https://login.consultant.ru/link/?req=doc&amp;base=LAW&amp;n=154176" TargetMode = "External"/>
	<Relationship Id="rId26" Type="http://schemas.openxmlformats.org/officeDocument/2006/relationships/hyperlink" Target="https://login.consultant.ru/link/?req=doc&amp;base=LAW&amp;n=478592&amp;dst=506" TargetMode = "External"/>
	<Relationship Id="rId27" Type="http://schemas.openxmlformats.org/officeDocument/2006/relationships/hyperlink" Target="http://profstandart.rosmintrud.ru" TargetMode = "External"/>
	<Relationship Id="rId28" Type="http://schemas.openxmlformats.org/officeDocument/2006/relationships/hyperlink" Target="https://login.consultant.ru/link/?req=doc&amp;base=LAW&amp;n=214720&amp;dst=100006" TargetMode = "External"/>
	<Relationship Id="rId29" Type="http://schemas.openxmlformats.org/officeDocument/2006/relationships/hyperlink" Target="https://login.consultant.ru/link/?req=doc&amp;base=LAW&amp;n=146970&amp;dst=100009" TargetMode = "External"/>
	<Relationship Id="rId30" Type="http://schemas.openxmlformats.org/officeDocument/2006/relationships/hyperlink" Target="https://login.consultant.ru/link/?req=doc&amp;base=LAW&amp;n=146970" TargetMode = "External"/>
	<Relationship Id="rId31" Type="http://schemas.openxmlformats.org/officeDocument/2006/relationships/hyperlink" Target="https://login.consultant.ru/link/?req=doc&amp;base=LAW&amp;n=464157" TargetMode = "External"/>
	<Relationship Id="rId32" Type="http://schemas.openxmlformats.org/officeDocument/2006/relationships/hyperlink" Target="https://login.consultant.ru/link/?req=doc&amp;base=LAW&amp;n=439201" TargetMode = "External"/>
	<Relationship Id="rId33" Type="http://schemas.openxmlformats.org/officeDocument/2006/relationships/hyperlink" Target="https://login.consultant.ru/link/?req=doc&amp;base=LAW&amp;n=365707&amp;dst=100009" TargetMode = "External"/>
	<Relationship Id="rId34" Type="http://schemas.openxmlformats.org/officeDocument/2006/relationships/hyperlink" Target="https://login.consultant.ru/link/?req=doc&amp;base=LAW&amp;n=365707" TargetMode = "External"/>
	<Relationship Id="rId35" Type="http://schemas.openxmlformats.org/officeDocument/2006/relationships/hyperlink" Target="https://login.consultant.ru/link/?req=doc&amp;base=LAW&amp;n=447397&amp;dst=10094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09.01.2023 N 18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31.08.69 Челюстно-лицевая хирургия"
(Зарегистрировано в Минюсте России 13.02.2023 N 72348)</dc:title>
  <dcterms:created xsi:type="dcterms:W3CDTF">2024-08-16T08:45:47Z</dcterms:created>
</cp:coreProperties>
</file>